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0E19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HALAMAN SAMPUL</w:t>
      </w:r>
    </w:p>
    <w:p w14:paraId="5714B54A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Template</w:t>
      </w:r>
    </w:p>
    <w:p w14:paraId="507BBA6A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PROPOSAL WIRAUSAHA MERDEKA</w:t>
      </w:r>
    </w:p>
    <w:p w14:paraId="35AB48E1" w14:textId="77777777" w:rsidR="007528E7" w:rsidRDefault="0016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0E6E0D" wp14:editId="19A0D2F9">
                <wp:simplePos x="0" y="0"/>
                <wp:positionH relativeFrom="column">
                  <wp:posOffset>2019300</wp:posOffset>
                </wp:positionH>
                <wp:positionV relativeFrom="paragraph">
                  <wp:posOffset>266700</wp:posOffset>
                </wp:positionV>
                <wp:extent cx="1553176" cy="1413133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762" y="3079784"/>
                          <a:ext cx="1540476" cy="1400433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A63A9" w14:textId="77777777" w:rsidR="007528E7" w:rsidRDefault="0016330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LOGO PT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266700</wp:posOffset>
                </wp:positionV>
                <wp:extent cx="1553176" cy="1413133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176" cy="14131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17A773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F93BC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36C8A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7AA6C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1C53B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833AA" w14:textId="77777777" w:rsidR="007528E7" w:rsidRDefault="007528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2C252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JUDUL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PROGRAM :</w:t>
      </w:r>
      <w:proofErr w:type="gramEnd"/>
    </w:p>
    <w:p w14:paraId="4A559B28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E1F6D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886E4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PENYUSUN :</w:t>
      </w:r>
      <w:proofErr w:type="gramEnd"/>
    </w:p>
    <w:p w14:paraId="37DBC10E" w14:textId="77777777" w:rsidR="007528E7" w:rsidRDefault="00163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</w:t>
      </w:r>
    </w:p>
    <w:p w14:paraId="048A030B" w14:textId="77777777" w:rsidR="007528E7" w:rsidRDefault="00163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</w:t>
      </w:r>
    </w:p>
    <w:p w14:paraId="3DA35F04" w14:textId="77777777" w:rsidR="007528E7" w:rsidRDefault="00163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</w:t>
      </w:r>
    </w:p>
    <w:p w14:paraId="3F80E1C3" w14:textId="77777777" w:rsidR="007528E7" w:rsidRDefault="007528E7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1D05A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2F6B9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FCB82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F0BD3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57013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95B40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E71A1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9FCFD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B4508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43CEB" w14:textId="77777777" w:rsidR="007528E7" w:rsidRDefault="007528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C442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NAMA BIDANG/UNIT YANG MENGUSULKAN</w:t>
      </w:r>
    </w:p>
    <w:p w14:paraId="77D2FD5A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NAMA PERGURUAN TINGGI</w:t>
      </w:r>
    </w:p>
    <w:p w14:paraId="744E5CC1" w14:textId="77777777" w:rsidR="007528E7" w:rsidRDefault="001633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r>
        <w:br w:type="page"/>
      </w:r>
    </w:p>
    <w:p w14:paraId="7D494A13" w14:textId="77777777" w:rsidR="007528E7" w:rsidRDefault="00163309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KOP LEMBAGA</w:t>
      </w:r>
    </w:p>
    <w:p w14:paraId="7FABC5BE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7BCDFA30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IDENTITAS PERGURUAN TINGGI PENGUSUL</w:t>
      </w:r>
    </w:p>
    <w:p w14:paraId="2804007F" w14:textId="77777777" w:rsidR="007528E7" w:rsidRDefault="00163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WIRAUSAHA MERDEKA </w:t>
      </w:r>
    </w:p>
    <w:p w14:paraId="3C93C1C2" w14:textId="77777777" w:rsidR="007528E7" w:rsidRDefault="007528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7CFD1B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5506AF2D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7C7B3E4A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1F11A122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025F5FC2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1FE9571E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Unit/Lembaga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55BFD1DF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E33CCA" w14:textId="77777777" w:rsidR="007528E7" w:rsidRDefault="00163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3A9FF6FC" w14:textId="77777777" w:rsidR="007528E7" w:rsidRDefault="00163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NIP/NIDN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25D30714" w14:textId="77777777" w:rsidR="007528E7" w:rsidRDefault="00163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2BC34277" w14:textId="77777777" w:rsidR="007528E7" w:rsidRDefault="00163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HP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7CD98B8B" w14:textId="77777777" w:rsidR="007528E7" w:rsidRDefault="00163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40CB5C2A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orang</w:t>
      </w:r>
    </w:p>
    <w:p w14:paraId="549B9D16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    orang</w:t>
      </w:r>
    </w:p>
    <w:p w14:paraId="70E6290F" w14:textId="77777777" w:rsidR="007528E7" w:rsidRDefault="00163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48C21D02" w14:textId="77777777" w:rsidR="007528E7" w:rsidRDefault="007528E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3"/>
        <w:gridCol w:w="4503"/>
      </w:tblGrid>
      <w:tr w:rsidR="007528E7" w14:paraId="6343113A" w14:textId="77777777">
        <w:trPr>
          <w:trHeight w:val="940"/>
        </w:trPr>
        <w:tc>
          <w:tcPr>
            <w:tcW w:w="4523" w:type="dxa"/>
          </w:tcPr>
          <w:p w14:paraId="59DFB99B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4E04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14:paraId="161DE013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9ECAE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99664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B6999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EE24E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NIP</w:t>
            </w:r>
          </w:p>
        </w:tc>
        <w:tc>
          <w:tcPr>
            <w:tcW w:w="4503" w:type="dxa"/>
          </w:tcPr>
          <w:p w14:paraId="12CCAE5E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Kota,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Tahun</w:t>
            </w:r>
            <w:proofErr w:type="spellEnd"/>
          </w:p>
          <w:p w14:paraId="514A126E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  <w:p w14:paraId="21B1EE57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1340E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Tangan</w:t>
            </w:r>
            <w:proofErr w:type="spellEnd"/>
          </w:p>
          <w:p w14:paraId="2906DC9F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A89F2" w14:textId="77777777" w:rsidR="007528E7" w:rsidRDefault="007528E7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AB5A5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Jelas</w:t>
            </w:r>
            <w:proofErr w:type="spellEnd"/>
          </w:p>
          <w:p w14:paraId="373765A4" w14:textId="77777777" w:rsidR="007528E7" w:rsidRDefault="00163309">
            <w:pPr>
              <w:tabs>
                <w:tab w:val="left" w:pos="414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</w:tc>
      </w:tr>
    </w:tbl>
    <w:p w14:paraId="1EF8D74E" w14:textId="77777777" w:rsidR="007528E7" w:rsidRDefault="007528E7">
      <w:pPr>
        <w:tabs>
          <w:tab w:val="left" w:pos="4140"/>
          <w:tab w:val="left" w:pos="6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68A121" w14:textId="77777777" w:rsidR="007528E7" w:rsidRDefault="007528E7">
      <w:pPr>
        <w:spacing w:after="0"/>
        <w:rPr>
          <w:rFonts w:ascii="Times New Roman" w:eastAsia="Times New Roman" w:hAnsi="Times New Roman" w:cs="Times New Roman"/>
        </w:rPr>
      </w:pPr>
    </w:p>
    <w:p w14:paraId="07FA4802" w14:textId="77777777" w:rsidR="007528E7" w:rsidRDefault="007528E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7A9201D" w14:textId="77777777" w:rsidR="007528E7" w:rsidRDefault="0016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E41B288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BAB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PROFIL PERGURUAN TINGGI PELAKSANA PROGRAM WIRAUSAHA MERDEKA</w:t>
      </w:r>
    </w:p>
    <w:p w14:paraId="596AD582" w14:textId="77777777" w:rsidR="007528E7" w:rsidRDefault="007528E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28DCEB7" w14:textId="77777777" w:rsidR="007528E7" w:rsidRDefault="00163309">
      <w:pPr>
        <w:pStyle w:val="Heading2"/>
        <w:numPr>
          <w:ilvl w:val="0"/>
          <w:numId w:val="8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Tinggi </w:t>
      </w:r>
    </w:p>
    <w:p w14:paraId="4540314D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akreditasi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komitmen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Tinggi.</w:t>
      </w:r>
    </w:p>
    <w:p w14:paraId="4AB02353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80483" w14:textId="77777777" w:rsidR="007528E7" w:rsidRDefault="00163309">
      <w:pPr>
        <w:pStyle w:val="Heading2"/>
        <w:numPr>
          <w:ilvl w:val="0"/>
          <w:numId w:val="8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Portofolio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Tinggi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E1FBDD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keunggulan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rasionalitas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dijalankan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Tinggi.</w:t>
      </w:r>
    </w:p>
    <w:p w14:paraId="1B884B2B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86A17" w14:textId="77777777" w:rsidR="007528E7" w:rsidRDefault="00163309">
      <w:pPr>
        <w:pStyle w:val="Heading2"/>
        <w:numPr>
          <w:ilvl w:val="0"/>
          <w:numId w:val="8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Unit/Lembaga/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Inkubator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Tinggi</w:t>
      </w:r>
    </w:p>
    <w:p w14:paraId="7BCADA68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029B0C2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EC862" w14:textId="77777777" w:rsidR="007528E7" w:rsidRDefault="00163309">
      <w:pPr>
        <w:pStyle w:val="Heading2"/>
        <w:numPr>
          <w:ilvl w:val="0"/>
          <w:numId w:val="8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2et92p0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Merdeka</w:t>
      </w:r>
    </w:p>
    <w:p w14:paraId="170A4380" w14:textId="77777777" w:rsidR="007528E7" w:rsidRDefault="00163309">
      <w:pP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C4E8D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E7B3F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FAFBD2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BA29F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A86D9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431E9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B93E1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50F94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38FE3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3B941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6B885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PENYUSUNAN PROGRAM WIRAUSAHA MERDEKA </w:t>
      </w:r>
    </w:p>
    <w:p w14:paraId="5E11B236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67EEB109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Skema dan Alur Program</w:t>
      </w:r>
    </w:p>
    <w:p w14:paraId="4B0A83EE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taksonomi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bloom), Gambar Alur/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program. </w:t>
      </w:r>
    </w:p>
    <w:p w14:paraId="6D741D3F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92E749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</w:t>
      </w:r>
    </w:p>
    <w:p w14:paraId="10BF967E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persiapan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:</w:t>
      </w:r>
      <w:proofErr w:type="gramEnd"/>
    </w:p>
    <w:p w14:paraId="20FD1161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</w:p>
    <w:p w14:paraId="27907328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</w:p>
    <w:p w14:paraId="6B9E92DB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Silabus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</w:p>
    <w:p w14:paraId="3D74C6C8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Sarana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</w:p>
    <w:p w14:paraId="43FABDCC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</w:p>
    <w:p w14:paraId="05501E78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Media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</w:p>
    <w:p w14:paraId="6DAD8F86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Penugasan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pelaporan</w:t>
      </w:r>
      <w:proofErr w:type="spellEnd"/>
    </w:p>
    <w:p w14:paraId="3667EEC8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</w:p>
    <w:p w14:paraId="4C404619" w14:textId="77777777" w:rsidR="007528E7" w:rsidRDefault="00163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</w:p>
    <w:p w14:paraId="58CE05F2" w14:textId="77777777" w:rsidR="007528E7" w:rsidRDefault="007528E7"/>
    <w:p w14:paraId="72C6FF16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Tenaga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Pengajar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/Tenaga Ahli/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/Mitra yang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</w:t>
      </w:r>
    </w:p>
    <w:p w14:paraId="5734D797" w14:textId="77777777" w:rsidR="007528E7" w:rsidRDefault="00163309">
      <w:pP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dilampirkan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 Kerjasama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Mitra)</w:t>
      </w:r>
    </w:p>
    <w:p w14:paraId="213FAB93" w14:textId="77777777" w:rsidR="007528E7" w:rsidRDefault="007528E7"/>
    <w:p w14:paraId="22A5F993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Kapasit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</w:t>
      </w:r>
    </w:p>
    <w:p w14:paraId="546447B4" w14:textId="77777777" w:rsidR="007528E7" w:rsidRDefault="00163309">
      <w:pP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FB349" w14:textId="77777777" w:rsidR="007528E7" w:rsidRDefault="007528E7"/>
    <w:p w14:paraId="292DCAC4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Indikator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dan Outcome Program</w:t>
      </w:r>
    </w:p>
    <w:p w14:paraId="5CC89379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dan Outcome/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program.</w:t>
      </w:r>
    </w:p>
    <w:p w14:paraId="15CE73BC" w14:textId="77777777" w:rsidR="007528E7" w:rsidRDefault="007528E7"/>
    <w:p w14:paraId="2C3AA08E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Pencapaian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dan Outcome Program</w:t>
      </w:r>
    </w:p>
    <w:p w14:paraId="602E3655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dan Outcome/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E75768" w14:textId="77777777" w:rsidR="007528E7" w:rsidRDefault="007528E7"/>
    <w:p w14:paraId="31112CA4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 Monitoring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Internal</w:t>
      </w:r>
    </w:p>
    <w:p w14:paraId="7AEA4CB7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monitoring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monitoring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8E1114" w14:textId="77777777" w:rsidR="007528E7" w:rsidRDefault="007528E7"/>
    <w:p w14:paraId="2A31E4D7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</w:t>
      </w:r>
    </w:p>
    <w:p w14:paraId="5724C4E6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mingguan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A29F9F" w14:textId="77777777" w:rsidR="007528E7" w:rsidRDefault="007528E7"/>
    <w:p w14:paraId="51D25819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MBKM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Konversi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SKS</w:t>
      </w:r>
    </w:p>
    <w:p w14:paraId="0D8A9FE9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konversi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5658B" w14:textId="77777777" w:rsidR="007528E7" w:rsidRDefault="007528E7"/>
    <w:p w14:paraId="27B54C4E" w14:textId="77777777" w:rsidR="007528E7" w:rsidRDefault="00163309">
      <w:pPr>
        <w:pStyle w:val="Heading2"/>
        <w:numPr>
          <w:ilvl w:val="0"/>
          <w:numId w:val="2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Keberlanjutan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</w:t>
      </w:r>
    </w:p>
    <w:p w14:paraId="713D18C3" w14:textId="77777777" w:rsidR="007528E7" w:rsidRDefault="001633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komitmen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BD52B" w14:textId="77777777" w:rsidR="007528E7" w:rsidRDefault="007528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55DB4DB" w14:textId="77777777" w:rsidR="007528E7" w:rsidRDefault="007528E7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16EFEE0F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PERENCANAAN ANGGARAN DAN PENGELOLAAN KEUANGAN PROGRAM</w:t>
      </w:r>
    </w:p>
    <w:p w14:paraId="0D8C6748" w14:textId="77777777" w:rsidR="007528E7" w:rsidRDefault="007528E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62E09D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124FCE5D" w14:textId="77777777" w:rsidR="007528E7" w:rsidRDefault="00163309">
      <w:pPr>
        <w:pStyle w:val="Heading2"/>
        <w:numPr>
          <w:ilvl w:val="0"/>
          <w:numId w:val="4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Merdeka</w:t>
      </w:r>
    </w:p>
    <w:p w14:paraId="1AAC8BC5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nominalnya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LPDP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687AD111" w14:textId="77777777" w:rsidR="007528E7" w:rsidRDefault="001633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521213 -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 Output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36479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2253FE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</w:t>
      </w:r>
    </w:p>
    <w:p w14:paraId="42FD0F8A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Mentorship / workshop / s</w:t>
      </w:r>
      <w:r>
        <w:rPr>
          <w:rFonts w:ascii="Times New Roman" w:eastAsia="Times New Roman" w:hAnsi="Times New Roman" w:cs="Times New Roman"/>
          <w:sz w:val="24"/>
          <w:szCs w:val="24"/>
        </w:rPr>
        <w:t>eminar / on boarding / demo day / prototype</w:t>
      </w:r>
    </w:p>
    <w:p w14:paraId="0149F9ED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05B5F1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</w:t>
      </w:r>
    </w:p>
    <w:p w14:paraId="0C21A4EA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</w:t>
      </w:r>
    </w:p>
    <w:p w14:paraId="01C05321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Administrator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</w:p>
    <w:p w14:paraId="4A41D7F7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Evaluator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</w:p>
    <w:p w14:paraId="5B06FF0D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Honorarium Review Calon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</w:t>
      </w:r>
    </w:p>
    <w:p w14:paraId="3673867E" w14:textId="77777777" w:rsidR="007528E7" w:rsidRDefault="001633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521219 -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</w:p>
    <w:p w14:paraId="08FB516A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6F077B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3A7EC776" w14:textId="77777777" w:rsidR="007528E7" w:rsidRDefault="00163309">
      <w:pPr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Honorarium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</w:t>
      </w:r>
      <w:proofErr w:type="spellEnd"/>
    </w:p>
    <w:p w14:paraId="2CB6C22D" w14:textId="77777777" w:rsidR="007528E7" w:rsidRDefault="001633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522151 -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</w:p>
    <w:p w14:paraId="7A43F6AF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</w:t>
      </w:r>
    </w:p>
    <w:p w14:paraId="1C5B9C93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19276C4" w14:textId="77777777" w:rsidR="007528E7" w:rsidRDefault="001633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521219 -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</w:p>
    <w:p w14:paraId="6AE2FBFE" w14:textId="77777777" w:rsidR="007528E7" w:rsidRDefault="00163309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WMK</w:t>
      </w:r>
    </w:p>
    <w:p w14:paraId="20EA215C" w14:textId="77777777" w:rsidR="007528E7" w:rsidRDefault="001633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524111 -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0E7C98" w14:textId="77777777" w:rsidR="007528E7" w:rsidRDefault="00163309">
      <w:pPr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Monitoring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EB992" w14:textId="77777777" w:rsidR="007528E7" w:rsidRDefault="007528E7">
      <w:pPr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1F487" w14:textId="77777777" w:rsidR="007528E7" w:rsidRDefault="00163309">
      <w:pPr>
        <w:pStyle w:val="Heading2"/>
        <w:numPr>
          <w:ilvl w:val="0"/>
          <w:numId w:val="4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Merdeka</w:t>
      </w:r>
    </w:p>
    <w:p w14:paraId="71FE9464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(RAB)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Merdeka.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review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Tim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PMK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LPDP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didiskusikan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berkorespondensi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 Keputusan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FA6C1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Tinggi, WMK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pengesa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 Keputusan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WMK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Atas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didaftarkan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D1FA3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Proses monitoring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WMK Pusat.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 di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masing-masing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bukti-bukti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e-mail.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monitoring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</w:t>
      </w:r>
      <w:r>
        <w:rPr>
          <w:rFonts w:ascii="Times New Roman" w:eastAsia="Times New Roman" w:hAnsi="Times New Roman" w:cs="Times New Roman"/>
          <w:sz w:val="24"/>
          <w:szCs w:val="24"/>
        </w:rPr>
        <w:t>buktian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3B523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program,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masing-masing.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LPDP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WMK Pusat.</w:t>
      </w:r>
    </w:p>
    <w:p w14:paraId="3D38E28C" w14:textId="77777777" w:rsidR="007528E7" w:rsidRDefault="001633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96%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dana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disep</w:t>
      </w:r>
      <w:r>
        <w:rPr>
          <w:rFonts w:ascii="Times New Roman" w:eastAsia="Times New Roman" w:hAnsi="Times New Roman" w:cs="Times New Roman"/>
          <w:sz w:val="24"/>
          <w:szCs w:val="24"/>
        </w:rPr>
        <w:t>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kepesertaannya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pencair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LPDP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A57DEBD" w14:textId="77777777" w:rsidR="007528E7" w:rsidRDefault="007528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8D63F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761003B4" w14:textId="77777777" w:rsidR="007528E7" w:rsidRDefault="0016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F6B01E8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BAB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PENUTUP</w:t>
      </w:r>
    </w:p>
    <w:p w14:paraId="27350251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37A69985" w14:textId="0E1B8F4A" w:rsidR="007528E7" w:rsidRDefault="0016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Merdeka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C50B9" w14:textId="77777777" w:rsidR="007528E7" w:rsidRDefault="0016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9916EAC" w14:textId="77777777" w:rsidR="007528E7" w:rsidRDefault="00163309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</w:t>
      </w:r>
    </w:p>
    <w:p w14:paraId="4B4F8F6E" w14:textId="77777777" w:rsidR="007528E7" w:rsidRDefault="007528E7">
      <w:pPr>
        <w:rPr>
          <w:rFonts w:ascii="Times New Roman" w:eastAsia="Times New Roman" w:hAnsi="Times New Roman" w:cs="Times New Roman"/>
        </w:rPr>
      </w:pPr>
    </w:p>
    <w:p w14:paraId="463E4BB9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MBKM.</w:t>
      </w:r>
    </w:p>
    <w:p w14:paraId="5EEBCD19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</w:t>
      </w:r>
    </w:p>
    <w:p w14:paraId="17283092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Jawab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</w:t>
      </w:r>
    </w:p>
    <w:p w14:paraId="7BDC0782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CV Tenaga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Tenaga Ahli,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</w:t>
      </w:r>
      <w:proofErr w:type="spellEnd"/>
    </w:p>
    <w:p w14:paraId="43190874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Perjanjian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Kerjasama Mitra (Bukti Kerjasama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266184B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 DIKTI</w:t>
      </w:r>
    </w:p>
    <w:p w14:paraId="11BEBA09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Unit/Lembaga/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</w:t>
      </w:r>
    </w:p>
    <w:p w14:paraId="5CF39501" w14:textId="77777777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lain)</w:t>
      </w:r>
    </w:p>
    <w:p w14:paraId="07A827E0" w14:textId="5254C4ED" w:rsidR="007528E7" w:rsidRDefault="00163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PT.</w:t>
      </w:r>
    </w:p>
    <w:sectPr w:rsidR="007528E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4D"/>
    <w:multiLevelType w:val="multilevel"/>
    <w:tmpl w:val="093A6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DD4"/>
    <w:multiLevelType w:val="multilevel"/>
    <w:tmpl w:val="506470E6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5E6"/>
    <w:multiLevelType w:val="multilevel"/>
    <w:tmpl w:val="D7F44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3B71"/>
    <w:multiLevelType w:val="multilevel"/>
    <w:tmpl w:val="26EC9D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046D3D"/>
    <w:multiLevelType w:val="multilevel"/>
    <w:tmpl w:val="F25661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55F4B79"/>
    <w:multiLevelType w:val="multilevel"/>
    <w:tmpl w:val="2D546F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41C2"/>
    <w:multiLevelType w:val="multilevel"/>
    <w:tmpl w:val="E12041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4D26"/>
    <w:multiLevelType w:val="multilevel"/>
    <w:tmpl w:val="FBFEE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87472">
    <w:abstractNumId w:val="0"/>
  </w:num>
  <w:num w:numId="2" w16cid:durableId="1719629222">
    <w:abstractNumId w:val="1"/>
  </w:num>
  <w:num w:numId="3" w16cid:durableId="179206544">
    <w:abstractNumId w:val="2"/>
  </w:num>
  <w:num w:numId="4" w16cid:durableId="644166173">
    <w:abstractNumId w:val="5"/>
  </w:num>
  <w:num w:numId="5" w16cid:durableId="1800879992">
    <w:abstractNumId w:val="3"/>
  </w:num>
  <w:num w:numId="6" w16cid:durableId="832064962">
    <w:abstractNumId w:val="4"/>
  </w:num>
  <w:num w:numId="7" w16cid:durableId="193423802">
    <w:abstractNumId w:val="7"/>
  </w:num>
  <w:num w:numId="8" w16cid:durableId="1222056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E7"/>
    <w:rsid w:val="00163309"/>
    <w:rsid w:val="007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FF0B2"/>
  <w15:docId w15:val="{FBFF2A8B-0BA1-6949-A73F-7B68CC5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B7"/>
  </w:style>
  <w:style w:type="paragraph" w:styleId="Heading1">
    <w:name w:val="heading 1"/>
    <w:basedOn w:val="Normal"/>
    <w:next w:val="Normal"/>
    <w:link w:val="Heading1Char"/>
    <w:uiPriority w:val="9"/>
    <w:qFormat/>
    <w:rsid w:val="00925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B6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D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77F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7F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7FBA"/>
    <w:pPr>
      <w:tabs>
        <w:tab w:val="left" w:pos="709"/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7FB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32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2529"/>
    <w:pPr>
      <w:spacing w:after="100"/>
      <w:ind w:left="4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+2s2cINMD4S1Kv+0IzS1ToA0w==">AMUW2mXVFuUsEQRpPNenhT8uzbaecU/8iKKHvhTdhuoInhLJ2i/5eqDIaVjaflH0IHaL4KCzMIoeBuv6DsXyeGfxSpmwXfL9eJprqsXBoWWckWZ38EU871d55n558BnMeGp7+C4rWWfjTr+ZLl1PZb1wx2qZD7gQydXfoexvaqdZxZmrpvdajTza/OcFgz6ET4K1YA0vuiUb1v9ojinQc/ySfF/Btc+Zpi+zj81C44GprnF2Ds8i5Jc=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14S</dc:creator>
  <cp:lastModifiedBy>Microsoft Office User</cp:lastModifiedBy>
  <cp:revision>2</cp:revision>
  <dcterms:created xsi:type="dcterms:W3CDTF">2022-05-21T10:16:00Z</dcterms:created>
  <dcterms:modified xsi:type="dcterms:W3CDTF">2022-05-21T10:16:00Z</dcterms:modified>
</cp:coreProperties>
</file>